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eastAsia="Verdana" w:cs="Verdana" w:ascii="Verdana" w:hAnsi="Verdana"/>
          <w:b/>
        </w:rPr>
        <w:t xml:space="preserve">ДНІПРОВСЬКОГО 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4018915" cy="12065"/>
                <wp:effectExtent l="0" t="0" r="0" b="0"/>
                <wp:wrapNone/>
                <wp:docPr id="2" name="Зображення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8320" cy="115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3.1pt" to="325.35pt,13.95pt" ID="Зображення2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1225683000:02:002:0158 площею 0,4555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1225683000:02:002:0158 площею 0,4555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numPr>
          <w:ilvl w:val="0"/>
          <w:numId w:val="0"/>
        </w:numPr>
        <w:ind w:left="1080" w:hanging="0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28.01.2022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-10/8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</w:t>
      </w:r>
      <w:r>
        <w:rPr>
          <w:rFonts w:eastAsia="Verdana" w:cs="Verdana" w:ascii="Verdana" w:hAnsi="Verdana"/>
          <w:b/>
        </w:rPr>
        <w:t xml:space="preserve">ДНІПРОВСЬКОГО  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4018915" cy="12065"/>
                <wp:effectExtent l="0" t="0" r="0" b="0"/>
                <wp:wrapNone/>
                <wp:docPr id="4" name="Зображення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8320" cy="115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3.1pt" to="325.35pt,13.95pt" ID="Зображення3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1225683000:02:002:0159 площею 0,1690 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1225683000:02:002:0159 площею 0,1690  га за адресою: Дніпропетровська область, Царичанський район, Ляшківська сільська рада 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28.01.2022    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-10/8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5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eastAsia="Verdana" w:cs="Verdana" w:ascii="Verdana" w:hAnsi="Verdana"/>
          <w:b/>
        </w:rPr>
        <w:t xml:space="preserve">ДНІПРОВСЬКОГО 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4018915" cy="12065"/>
                <wp:effectExtent l="0" t="0" r="0" b="0"/>
                <wp:wrapNone/>
                <wp:docPr id="6" name="Зображення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8320" cy="115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3.1pt" to="325.35pt,13.95pt" ID="Зображення4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</w:t>
      </w:r>
      <w:bookmarkStart w:id="0" w:name="__DdeLink__255_1996577348"/>
      <w:r>
        <w:rPr>
          <w:sz w:val="28"/>
          <w:szCs w:val="28"/>
          <w:lang w:val="uk-UA"/>
        </w:rPr>
        <w:t>1225683000:02:002:0160 площею 0,4948</w:t>
      </w:r>
      <w:bookmarkEnd w:id="0"/>
      <w:r>
        <w:rPr>
          <w:sz w:val="28"/>
          <w:szCs w:val="28"/>
          <w:lang w:val="uk-UA"/>
        </w:rPr>
        <w:t xml:space="preserve">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1225683000:02:002:0160 площею 0,4948 га за адресою: Дніпропетровська область, Царичанський район, Ляшківська сільська рада  Службі автомобільних доріг у Дніпропетровській області.  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28.01.2022   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-10/8 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417" w:right="850" w:header="0" w:top="85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  <w:lang w:val="uk-U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Style14" w:customStyle="1">
    <w:name w:val="Шрифт абзацу за замовчуванням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ListLabel1" w:customStyle="1">
    <w:name w:val="ListLabel 1"/>
    <w:qFormat/>
    <w:rPr>
      <w:sz w:val="28"/>
      <w:szCs w:val="28"/>
      <w:lang w:val="uk-UA"/>
    </w:rPr>
  </w:style>
  <w:style w:type="character" w:styleId="ListLabel2" w:customStyle="1">
    <w:name w:val="ListLabel 2"/>
    <w:qFormat/>
    <w:rPr>
      <w:sz w:val="28"/>
      <w:szCs w:val="28"/>
      <w:lang w:val="uk-UA"/>
    </w:rPr>
  </w:style>
  <w:style w:type="character" w:styleId="ListLabel3" w:customStyle="1">
    <w:name w:val="ListLabel 3"/>
    <w:qFormat/>
    <w:rPr>
      <w:sz w:val="28"/>
      <w:szCs w:val="28"/>
      <w:lang w:val="uk-UA"/>
    </w:rPr>
  </w:style>
  <w:style w:type="character" w:styleId="ListLabel4" w:customStyle="1">
    <w:name w:val="ListLabel 4"/>
    <w:qFormat/>
    <w:rPr>
      <w:sz w:val="28"/>
      <w:szCs w:val="28"/>
      <w:lang w:val="uk-UA"/>
    </w:rPr>
  </w:style>
  <w:style w:type="character" w:styleId="ListLabel5" w:customStyle="1">
    <w:name w:val="ListLabel 5"/>
    <w:qFormat/>
    <w:rPr>
      <w:sz w:val="28"/>
      <w:szCs w:val="28"/>
      <w:lang w:val="uk-UA"/>
    </w:rPr>
  </w:style>
  <w:style w:type="character" w:styleId="ListLabel6" w:customStyle="1">
    <w:name w:val="ListLabel 6"/>
    <w:qFormat/>
    <w:rPr>
      <w:sz w:val="28"/>
      <w:szCs w:val="28"/>
      <w:lang w:val="uk-UA"/>
    </w:rPr>
  </w:style>
  <w:style w:type="character" w:styleId="ListLabel7" w:customStyle="1">
    <w:name w:val="ListLabel 7"/>
    <w:qFormat/>
    <w:rPr>
      <w:sz w:val="28"/>
      <w:szCs w:val="28"/>
      <w:lang w:val="uk-UA"/>
    </w:rPr>
  </w:style>
  <w:style w:type="character" w:styleId="ListLabel8" w:customStyle="1">
    <w:name w:val="ListLabel 8"/>
    <w:qFormat/>
    <w:rPr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uk-UA"/>
    </w:rPr>
  </w:style>
  <w:style w:type="character" w:styleId="ListLabel10">
    <w:name w:val="ListLabel 10"/>
    <w:qFormat/>
    <w:rPr>
      <w:sz w:val="28"/>
      <w:szCs w:val="28"/>
      <w:lang w:val="uk-UA"/>
    </w:rPr>
  </w:style>
  <w:style w:type="character" w:styleId="ListLabel11">
    <w:name w:val="ListLabel 11"/>
    <w:qFormat/>
    <w:rPr>
      <w:sz w:val="28"/>
      <w:szCs w:val="28"/>
      <w:lang w:val="uk-UA"/>
    </w:rPr>
  </w:style>
  <w:style w:type="character" w:styleId="ListLabel12">
    <w:name w:val="ListLabel 12"/>
    <w:qFormat/>
    <w:rPr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character" w:styleId="ListLabel14">
    <w:name w:val="ListLabel 14"/>
    <w:qFormat/>
    <w:rPr>
      <w:sz w:val="28"/>
      <w:szCs w:val="28"/>
      <w:lang w:val="uk-UA"/>
    </w:rPr>
  </w:style>
  <w:style w:type="character" w:styleId="ListLabel15">
    <w:name w:val="ListLabel 15"/>
    <w:qFormat/>
    <w:rPr>
      <w:sz w:val="28"/>
      <w:szCs w:val="28"/>
      <w:lang w:val="uk-UA"/>
    </w:rPr>
  </w:style>
  <w:style w:type="character" w:styleId="ListLabel16">
    <w:name w:val="ListLabel 16"/>
    <w:qFormat/>
    <w:rPr>
      <w:sz w:val="28"/>
      <w:szCs w:val="28"/>
      <w:lang w:val="uk-UA"/>
    </w:rPr>
  </w:style>
  <w:style w:type="character" w:styleId="ListLabel17">
    <w:name w:val="ListLabel 17"/>
    <w:qFormat/>
    <w:rPr>
      <w:sz w:val="28"/>
      <w:szCs w:val="28"/>
      <w:lang w:val="uk-UA"/>
    </w:rPr>
  </w:style>
  <w:style w:type="character" w:styleId="ListLabel18">
    <w:name w:val="ListLabel 18"/>
    <w:qFormat/>
    <w:rPr>
      <w:sz w:val="28"/>
      <w:szCs w:val="28"/>
      <w:lang w:val="uk-UA"/>
    </w:rPr>
  </w:style>
  <w:style w:type="character" w:styleId="ListLabel19">
    <w:name w:val="ListLabel 19"/>
    <w:qFormat/>
    <w:rPr>
      <w:sz w:val="28"/>
      <w:szCs w:val="28"/>
      <w:lang w:val="uk-UA"/>
    </w:rPr>
  </w:style>
  <w:style w:type="character" w:styleId="ListLabel20">
    <w:name w:val="ListLabel 20"/>
    <w:qFormat/>
    <w:rPr>
      <w:sz w:val="28"/>
      <w:szCs w:val="28"/>
      <w:lang w:val="uk-UA"/>
    </w:rPr>
  </w:style>
  <w:style w:type="character" w:styleId="ListLabel21">
    <w:name w:val="ListLabel 21"/>
    <w:qFormat/>
    <w:rPr>
      <w:sz w:val="28"/>
      <w:szCs w:val="28"/>
      <w:lang w:val="uk-UA"/>
    </w:rPr>
  </w:style>
  <w:style w:type="character" w:styleId="ListLabel22">
    <w:name w:val="ListLabel 22"/>
    <w:qFormat/>
    <w:rPr>
      <w:sz w:val="28"/>
      <w:szCs w:val="28"/>
      <w:lang w:val="uk-UA"/>
    </w:rPr>
  </w:style>
  <w:style w:type="character" w:styleId="ListLabel23">
    <w:name w:val="ListLabel 23"/>
    <w:qFormat/>
    <w:rPr>
      <w:sz w:val="28"/>
      <w:szCs w:val="28"/>
      <w:lang w:val="uk-UA"/>
    </w:rPr>
  </w:style>
  <w:style w:type="character" w:styleId="ListLabel24">
    <w:name w:val="ListLabel 24"/>
    <w:qFormat/>
    <w:rPr>
      <w:sz w:val="28"/>
      <w:szCs w:val="28"/>
      <w:lang w:val="uk-UA"/>
    </w:rPr>
  </w:style>
  <w:style w:type="character" w:styleId="ListLabel25">
    <w:name w:val="ListLabel 25"/>
    <w:qFormat/>
    <w:rPr>
      <w:sz w:val="28"/>
      <w:szCs w:val="28"/>
      <w:lang w:val="uk-UA"/>
    </w:rPr>
  </w:style>
  <w:style w:type="character" w:styleId="ListLabel26">
    <w:name w:val="ListLabel 26"/>
    <w:qFormat/>
    <w:rPr>
      <w:sz w:val="28"/>
      <w:szCs w:val="28"/>
      <w:lang w:val="uk-UA"/>
    </w:rPr>
  </w:style>
  <w:style w:type="character" w:styleId="ListLabel27">
    <w:name w:val="ListLabel 27"/>
    <w:qFormat/>
    <w:rPr>
      <w:sz w:val="28"/>
      <w:szCs w:val="28"/>
      <w:lang w:val="uk-UA"/>
    </w:rPr>
  </w:style>
  <w:style w:type="character" w:styleId="ListLabel28">
    <w:name w:val="ListLabel 28"/>
    <w:qFormat/>
    <w:rPr>
      <w:sz w:val="28"/>
      <w:szCs w:val="28"/>
      <w:lang w:val="uk-UA"/>
    </w:rPr>
  </w:style>
  <w:style w:type="character" w:styleId="ListLabel29">
    <w:name w:val="ListLabel 29"/>
    <w:qFormat/>
    <w:rPr>
      <w:sz w:val="28"/>
      <w:szCs w:val="28"/>
      <w:lang w:val="uk-UA"/>
    </w:rPr>
  </w:style>
  <w:style w:type="character" w:styleId="ListLabel30">
    <w:name w:val="ListLabel 30"/>
    <w:qFormat/>
    <w:rPr>
      <w:sz w:val="28"/>
      <w:szCs w:val="28"/>
      <w:lang w:val="uk-UA"/>
    </w:rPr>
  </w:style>
  <w:style w:type="character" w:styleId="ListLabel31">
    <w:name w:val="ListLabel 31"/>
    <w:qFormat/>
    <w:rPr>
      <w:sz w:val="28"/>
      <w:szCs w:val="28"/>
      <w:lang w:val="uk-UA"/>
    </w:rPr>
  </w:style>
  <w:style w:type="character" w:styleId="ListLabel32">
    <w:name w:val="ListLabel 32"/>
    <w:qFormat/>
    <w:rPr>
      <w:sz w:val="28"/>
      <w:szCs w:val="28"/>
      <w:lang w:val="uk-UA"/>
    </w:rPr>
  </w:style>
  <w:style w:type="character" w:styleId="ListLabel33">
    <w:name w:val="ListLabel 33"/>
    <w:qFormat/>
    <w:rPr>
      <w:sz w:val="28"/>
      <w:szCs w:val="28"/>
      <w:lang w:val="uk-UA"/>
    </w:rPr>
  </w:style>
  <w:style w:type="character" w:styleId="ListLabel34">
    <w:name w:val="ListLabel 34"/>
    <w:qFormat/>
    <w:rPr>
      <w:sz w:val="28"/>
      <w:szCs w:val="28"/>
      <w:lang w:val="uk-UA"/>
    </w:rPr>
  </w:style>
  <w:style w:type="character" w:styleId="ListLabel35">
    <w:name w:val="ListLabel 35"/>
    <w:qFormat/>
    <w:rPr>
      <w:sz w:val="28"/>
      <w:szCs w:val="28"/>
      <w:lang w:val="uk-UA"/>
    </w:rPr>
  </w:style>
  <w:style w:type="character" w:styleId="ListLabel36">
    <w:name w:val="ListLabel 36"/>
    <w:qFormat/>
    <w:rPr>
      <w:sz w:val="28"/>
      <w:szCs w:val="28"/>
      <w:lang w:val="uk-UA"/>
    </w:rPr>
  </w:style>
  <w:style w:type="character" w:styleId="ListLabel37">
    <w:name w:val="ListLabel 37"/>
    <w:qFormat/>
    <w:rPr>
      <w:sz w:val="28"/>
      <w:szCs w:val="28"/>
      <w:lang w:val="uk-UA"/>
    </w:rPr>
  </w:style>
  <w:style w:type="character" w:styleId="ListLabel38">
    <w:name w:val="ListLabel 38"/>
    <w:qFormat/>
    <w:rPr>
      <w:sz w:val="28"/>
      <w:szCs w:val="28"/>
      <w:lang w:val="uk-UA"/>
    </w:rPr>
  </w:style>
  <w:style w:type="character" w:styleId="ListLabel39">
    <w:name w:val="ListLabel 39"/>
    <w:qFormat/>
    <w:rPr>
      <w:sz w:val="28"/>
      <w:szCs w:val="28"/>
      <w:lang w:val="uk-UA"/>
    </w:rPr>
  </w:style>
  <w:style w:type="character" w:styleId="ListLabel40">
    <w:name w:val="ListLabel 40"/>
    <w:qFormat/>
    <w:rPr>
      <w:sz w:val="28"/>
      <w:szCs w:val="28"/>
      <w:lang w:val="uk-UA"/>
    </w:rPr>
  </w:style>
  <w:style w:type="character" w:styleId="ListLabel41">
    <w:name w:val="ListLabel 41"/>
    <w:qFormat/>
    <w:rPr>
      <w:sz w:val="28"/>
      <w:szCs w:val="28"/>
      <w:lang w:val="uk-UA"/>
    </w:rPr>
  </w:style>
  <w:style w:type="character" w:styleId="ListLabel42">
    <w:name w:val="ListLabel 42"/>
    <w:qFormat/>
    <w:rPr>
      <w:sz w:val="28"/>
      <w:szCs w:val="28"/>
      <w:lang w:val="uk-UA"/>
    </w:rPr>
  </w:style>
  <w:style w:type="character" w:styleId="ListLabel43">
    <w:name w:val="ListLabel 43"/>
    <w:qFormat/>
    <w:rPr>
      <w:sz w:val="28"/>
      <w:szCs w:val="28"/>
      <w:lang w:val="uk-UA"/>
    </w:rPr>
  </w:style>
  <w:style w:type="character" w:styleId="ListLabel44">
    <w:name w:val="ListLabel 44"/>
    <w:qFormat/>
    <w:rPr>
      <w:sz w:val="28"/>
      <w:szCs w:val="28"/>
      <w:lang w:val="uk-UA"/>
    </w:rPr>
  </w:style>
  <w:style w:type="character" w:styleId="ListLabel45">
    <w:name w:val="ListLabel 45"/>
    <w:qFormat/>
    <w:rPr>
      <w:sz w:val="28"/>
      <w:szCs w:val="28"/>
      <w:lang w:val="uk-UA"/>
    </w:rPr>
  </w:style>
  <w:style w:type="character" w:styleId="ListLabel46">
    <w:name w:val="ListLabel 46"/>
    <w:qFormat/>
    <w:rPr>
      <w:sz w:val="28"/>
      <w:szCs w:val="28"/>
      <w:lang w:val="uk-UA"/>
    </w:rPr>
  </w:style>
  <w:style w:type="character" w:styleId="ListLabel47">
    <w:name w:val="ListLabel 47"/>
    <w:qFormat/>
    <w:rPr>
      <w:sz w:val="28"/>
      <w:szCs w:val="28"/>
      <w:lang w:val="uk-UA"/>
    </w:rPr>
  </w:style>
  <w:style w:type="character" w:styleId="ListLabel48">
    <w:name w:val="ListLabel 48"/>
    <w:qFormat/>
    <w:rPr>
      <w:sz w:val="28"/>
      <w:szCs w:val="28"/>
      <w:lang w:val="uk-UA"/>
    </w:rPr>
  </w:style>
  <w:style w:type="character" w:styleId="ListLabel49">
    <w:name w:val="ListLabel 49"/>
    <w:qFormat/>
    <w:rPr>
      <w:sz w:val="28"/>
      <w:szCs w:val="28"/>
      <w:lang w:val="uk-UA"/>
    </w:rPr>
  </w:style>
  <w:style w:type="character" w:styleId="ListLabel50">
    <w:name w:val="ListLabel 50"/>
    <w:qFormat/>
    <w:rPr>
      <w:sz w:val="28"/>
      <w:szCs w:val="28"/>
      <w:lang w:val="uk-UA"/>
    </w:rPr>
  </w:style>
  <w:style w:type="character" w:styleId="ListLabel51">
    <w:name w:val="ListLabel 51"/>
    <w:qFormat/>
    <w:rPr>
      <w:sz w:val="28"/>
      <w:szCs w:val="28"/>
      <w:lang w:val="uk-UA"/>
    </w:rPr>
  </w:style>
  <w:style w:type="character" w:styleId="ListLabel52">
    <w:name w:val="ListLabel 52"/>
    <w:qFormat/>
    <w:rPr>
      <w:sz w:val="28"/>
      <w:szCs w:val="28"/>
      <w:lang w:val="uk-UA"/>
    </w:rPr>
  </w:style>
  <w:style w:type="character" w:styleId="ListLabel53">
    <w:name w:val="ListLabel 53"/>
    <w:qFormat/>
    <w:rPr>
      <w:sz w:val="28"/>
      <w:szCs w:val="28"/>
      <w:lang w:val="uk-UA"/>
    </w:rPr>
  </w:style>
  <w:style w:type="character" w:styleId="ListLabel54">
    <w:name w:val="ListLabel 54"/>
    <w:qFormat/>
    <w:rPr>
      <w:sz w:val="28"/>
      <w:szCs w:val="28"/>
      <w:lang w:val="uk-UA"/>
    </w:rPr>
  </w:style>
  <w:style w:type="character" w:styleId="ListLabel55">
    <w:name w:val="ListLabel 55"/>
    <w:qFormat/>
    <w:rPr>
      <w:sz w:val="28"/>
      <w:szCs w:val="28"/>
      <w:lang w:val="uk-UA"/>
    </w:rPr>
  </w:style>
  <w:style w:type="character" w:styleId="ListLabel56">
    <w:name w:val="ListLabel 56"/>
    <w:qFormat/>
    <w:rPr>
      <w:sz w:val="28"/>
      <w:szCs w:val="28"/>
      <w:lang w:val="uk-UA"/>
    </w:rPr>
  </w:style>
  <w:style w:type="character" w:styleId="ListLabel57">
    <w:name w:val="ListLabel 57"/>
    <w:qFormat/>
    <w:rPr>
      <w:sz w:val="28"/>
      <w:szCs w:val="28"/>
      <w:lang w:val="uk-UA"/>
    </w:rPr>
  </w:style>
  <w:style w:type="character" w:styleId="ListLabel58">
    <w:name w:val="ListLabel 58"/>
    <w:qFormat/>
    <w:rPr>
      <w:sz w:val="28"/>
      <w:szCs w:val="28"/>
      <w:lang w:val="uk-UA"/>
    </w:rPr>
  </w:style>
  <w:style w:type="character" w:styleId="ListLabel59">
    <w:name w:val="ListLabel 59"/>
    <w:qFormat/>
    <w:rPr>
      <w:sz w:val="28"/>
      <w:szCs w:val="28"/>
      <w:lang w:val="uk-UA"/>
    </w:rPr>
  </w:style>
  <w:style w:type="character" w:styleId="ListLabel60">
    <w:name w:val="ListLabel 60"/>
    <w:qFormat/>
    <w:rPr>
      <w:sz w:val="28"/>
      <w:szCs w:val="28"/>
      <w:lang w:val="uk-UA"/>
    </w:rPr>
  </w:style>
  <w:style w:type="character" w:styleId="ListLabel61">
    <w:name w:val="ListLabel 61"/>
    <w:qFormat/>
    <w:rPr>
      <w:sz w:val="28"/>
      <w:szCs w:val="28"/>
      <w:lang w:val="uk-UA"/>
    </w:rPr>
  </w:style>
  <w:style w:type="character" w:styleId="ListLabel62">
    <w:name w:val="ListLabel 62"/>
    <w:qFormat/>
    <w:rPr>
      <w:sz w:val="28"/>
      <w:szCs w:val="28"/>
      <w:lang w:val="uk-UA"/>
    </w:rPr>
  </w:style>
  <w:style w:type="character" w:styleId="ListLabel63">
    <w:name w:val="ListLabel 63"/>
    <w:qFormat/>
    <w:rPr>
      <w:sz w:val="28"/>
      <w:szCs w:val="28"/>
      <w:lang w:val="uk-UA"/>
    </w:rPr>
  </w:style>
  <w:style w:type="character" w:styleId="ListLabel64">
    <w:name w:val="ListLabel 64"/>
    <w:qFormat/>
    <w:rPr>
      <w:sz w:val="28"/>
      <w:szCs w:val="28"/>
      <w:lang w:val="uk-UA"/>
    </w:rPr>
  </w:style>
  <w:style w:type="character" w:styleId="ListLabel65">
    <w:name w:val="ListLabel 65"/>
    <w:qFormat/>
    <w:rPr>
      <w:sz w:val="28"/>
      <w:szCs w:val="28"/>
      <w:lang w:val="uk-UA"/>
    </w:rPr>
  </w:style>
  <w:style w:type="character" w:styleId="ListLabel66">
    <w:name w:val="ListLabel 66"/>
    <w:qFormat/>
    <w:rPr>
      <w:sz w:val="28"/>
      <w:szCs w:val="28"/>
      <w:lang w:val="uk-U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Назва об'єкта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LibreOffice/5.3.0.3$Windows_X86_64 LibreOffice_project/7074905676c47b82bbcfbea1aeefc84afe1c50e1</Application>
  <Pages>4</Pages>
  <Words>640</Words>
  <Characters>4710</Characters>
  <CharactersWithSpaces>5637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2021-04-18T17:15:00Z</dcterms:created>
  <dc:creator>Sekretar</dc:creator>
  <dc:description/>
  <dc:language>uk-UA</dc:language>
  <cp:lastModifiedBy/>
  <cp:lastPrinted>2021-12-18T14:49:40Z</cp:lastPrinted>
  <dcterms:modified xsi:type="dcterms:W3CDTF">2022-02-08T08:44:09Z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